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Types>
</file>

<file path=_rels/.rels><?xml version="1.0" encoding="UTF-8" standalone="yes"?><Relationships xmlns="http://schemas.openxmlformats.org/package/2006/relationships"><Relationship Id="rId1" Type="http://schemas.openxmlformats.org/officeDocument/2006/relationships/officeDocument" Target="word/document.xml"/><Relationship Id="rId2" Type="http://schemas.openxmlformats.org/officeDocument/2006/relationships/extended-properties" Target="docProps/app.xml"/><Relationship Id="rId3" Type="http://schemas.openxmlformats.org/package/2006/relationships/metadata/core-properties" Target="docProps/core.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a="http://schemas.openxmlformats.org/drawingml/2006/main" xmlns:pic="http://schemas.openxmlformats.org/drawingml/2006/picture">
  <w:body>
    <w:p>
      <w:pPr>
        <w:pStyle w:val="Heading1"/>
      </w:pPr>
      <w:r>
        <w:t xml:space="preserve">Uzun Hikâye Yarışması – Yayın Hakları Sözleşmesi</w:t>
      </w:r>
    </w:p>
    <w:p>
      <w:pPr>
        <w:pStyle w:val="Heading2"/>
      </w:pPr>
      <w:r>
        <w:t xml:space="preserve">Madde 1 – Taraflar</w:t>
      </w:r>
    </w:p>
    <w:p>
      <w:pPr/>
      <w:r>
        <w:rPr>
          <w:b/>
          <w:bCs/>
        </w:rPr>
        <w:t xml:space="preserve">Yayıncı:</w:t>
      </w:r>
      <w:r>
        <w:t xml:space="preserve"> Mor Klavye Yayıncılık, Osmangazi Mahallesi, 584. Sokak, No: 34/A, Bayraklı/İzmir (bundan sonra "Yayınevi" olarak anılacaktır)</w:t>
      </w:r>
    </w:p>
    <w:p>
      <w:pPr/>
      <w:r>
        <w:rPr>
          <w:b/>
          <w:bCs/>
        </w:rPr>
        <w:t xml:space="preserve">Yazar:</w:t>
      </w:r>
      <w:r>
        <w:t xml:space="preserve"> ................................................................ (bundan sonra "Yazar" olarak anılacaktır)</w:t>
      </w:r>
    </w:p>
    <w:p>
      <w:pPr>
        <w:pStyle w:val="Heading2"/>
      </w:pPr>
      <w:r>
        <w:t xml:space="preserve">Madde 2 – Sözleşmenin Konusu</w:t>
      </w:r>
    </w:p>
    <w:p>
      <w:pPr/>
      <w:r>
        <w:t xml:space="preserve">Bu sözleşmenin konusu, Yazar'ın Mor Klavye Yayıncılık Uzun Hikâye Yarışması'na gönderdiği "................................................................" adlı eserin (bundan sonra "Eser" olarak anılacaktır) mali haklarının, 5846 sayılı Fikir ve Sanat Eserleri Kanunu (FSEK) çerçevesinde Yayınevi'ne devri ve tarafların karşılıklı hak ve yükümlülüklerinin belirlenmesidir.</w:t>
      </w:r>
    </w:p>
    <w:p>
      <w:pPr/>
      <w:r>
        <w:t xml:space="preserve">Bu sözleşme, yalnızca Eser'in yarışmada ödül kazanması hâlinde ve yarışma sonuçlarının açıklandığı 10 Nisan 2027 tarihinde yürürlüğe girer. Eser'in ödül kazanamaması hâlinde sözleşme hiçbir hüküm doğurmaz ve Eser üzerindeki tüm haklar Yazar'da kalır.</w:t>
      </w:r>
    </w:p>
    <w:p>
      <w:pPr>
        <w:pStyle w:val="Heading2"/>
      </w:pPr>
      <w:r>
        <w:t xml:space="preserve">Madde 3 – Devredilen Haklar</w:t>
      </w:r>
    </w:p>
    <w:p>
      <w:pPr/>
      <w:r>
        <w:t xml:space="preserve">Yazar, Eser üzerindeki aşağıdaki mali hakları, bu sözleşme süresince ve Türkiye dahil tüm ülkeler için </w:t>
      </w:r>
      <w:r>
        <w:rPr>
          <w:b/>
          <w:bCs/>
        </w:rPr>
        <w:t xml:space="preserve">münhasıran</w:t>
      </w:r>
      <w:r>
        <w:t xml:space="preserve"> Yayınevi'ne devreder:</w:t>
      </w:r>
    </w:p>
    <w:p>
      <w:pPr>
        <w:pStyle w:val="ListParagraph"/>
        <w:numPr>
          <w:ilvl w:val="0"/>
          <w:numId w:val="2"/>
        </w:numPr>
      </w:pPr>
      <w:r>
        <w:t xml:space="preserve">Çoğaltma hakkı (FSEK md. 22): Eserin basılı kitap, antoloji veya derleme olarak çoğaltılması.</w:t>
      </w:r>
    </w:p>
    <w:p>
      <w:pPr>
        <w:pStyle w:val="ListParagraph"/>
        <w:numPr>
          <w:ilvl w:val="0"/>
          <w:numId w:val="2"/>
        </w:numPr>
      </w:pPr>
      <w:r>
        <w:t xml:space="preserve">Yayma hakkı (FSEK md. 23): Eserin satışa sunulması, dağıtılması ve kiralanması.</w:t>
      </w:r>
    </w:p>
    <w:p>
      <w:pPr>
        <w:pStyle w:val="ListParagraph"/>
        <w:numPr>
          <w:ilvl w:val="0"/>
          <w:numId w:val="2"/>
        </w:numPr>
      </w:pPr>
      <w:r>
        <w:t xml:space="preserve">Umuma iletim hakkı (FSEK md. 25): Eserin e-kitap, sesli kitap ve dijital platformlar aracılığıyla yayımlanması.</w:t>
      </w:r>
    </w:p>
    <w:p>
      <w:pPr>
        <w:pStyle w:val="ListParagraph"/>
        <w:numPr>
          <w:ilvl w:val="0"/>
          <w:numId w:val="2"/>
        </w:numPr>
      </w:pPr>
      <w:r>
        <w:t xml:space="preserve">İşleme hakkı (FSEK md. 21): Eserin başka dillere çevrilmesi ve sesli kitap uyarlaması. Film, dizi veya tiyatro uyarlamaları için Yazar'ın ayrıca yazılı onayı alınır.</w:t>
      </w:r>
    </w:p>
    <w:p>
      <w:pPr/>
      <w:r>
        <w:t xml:space="preserve">Eserin pazarlaması, fiyatlandırılması, baskı adedi, kapak tasarımı, dağıtım kanalları ve tanıtımı ile ilgili tüm kararlar Yayınevi'ne aittir. Yazar'ın manevi hakları (eserin sahibi olarak adının belirtilmesi dahil) saklıdır.</w:t>
      </w:r>
    </w:p>
    <w:p>
      <w:pPr>
        <w:pStyle w:val="Heading2"/>
      </w:pPr>
      <w:r>
        <w:t xml:space="preserve">Madde 4 – Telif Ücreti ve Ödeme</w:t>
      </w:r>
    </w:p>
    <w:p>
      <w:pPr/>
      <w:r>
        <w:t xml:space="preserve">Yayınevi, Eser'in tüm basılı ve dijital satışlarından elde edilen </w:t>
      </w:r>
      <w:r>
        <w:rPr>
          <w:b/>
          <w:bCs/>
        </w:rPr>
        <w:t xml:space="preserve">KDV hariç net satış gelirinin %10'unu</w:t>
      </w:r>
      <w:r>
        <w:t xml:space="preserve"> telif ücreti olarak Yazar'a öder.</w:t>
      </w:r>
    </w:p>
    <w:p>
      <w:pPr/>
      <w:r>
        <w:t xml:space="preserve">Eser bir antoloji veya derleme içinde yayımlanırsa, %10'luk pay o yayına katkı sağlayan yazarlar arasında, eserlerin sayfa sayısı oranında paylaştırılır.</w:t>
      </w:r>
    </w:p>
    <w:p>
      <w:pPr/>
      <w:r>
        <w:t xml:space="preserve">Telif ücreti her yıl </w:t>
      </w:r>
      <w:r>
        <w:rPr>
          <w:b/>
          <w:bCs/>
        </w:rPr>
        <w:t xml:space="preserve">Ocak</w:t>
      </w:r>
      <w:r>
        <w:t xml:space="preserve"> ve </w:t>
      </w:r>
      <w:r>
        <w:rPr>
          <w:b/>
          <w:bCs/>
        </w:rPr>
        <w:t xml:space="preserve">Temmuz</w:t>
      </w:r>
      <w:r>
        <w:t xml:space="preserve"> aylarında, önceki altı aylık dönemin satış raporuyla birlikte Yazar'ın bildireceği banka hesabına ödenir. Yazar, satış rakamlarını gösteren raporu talep etme hakkına sahiptir.</w:t>
      </w:r>
    </w:p>
    <w:p>
      <w:pPr/>
      <w:r>
        <w:t xml:space="preserve">Yarışma kapsamında verilen para ödülü veya hediyeler bu telif ücretinden ayrıdır ve telif ücretinden mahsup edilmez. Yasal vergi kesintileri (stopaj) ödemeden düşülür.</w:t>
      </w:r>
    </w:p>
    <w:p>
      <w:pPr>
        <w:pStyle w:val="Heading2"/>
      </w:pPr>
      <w:r>
        <w:t xml:space="preserve">Madde 5 – Yazar'ın Beyan ve Yükümlülükleri</w:t>
      </w:r>
    </w:p>
    <w:p>
      <w:pPr>
        <w:pStyle w:val="ListParagraph"/>
        <w:numPr>
          <w:ilvl w:val="0"/>
          <w:numId w:val="3"/>
        </w:numPr>
      </w:pPr>
      <w:r>
        <w:t xml:space="preserve">Yazar, Eser'in kendisine ait, özgün ve daha önce yayımlanmamış olduğunu; üçüncü kişilerin haklarını ihlal etmediğini beyan eder. Aksi hâlde doğacak her türlü zarardan Yazar sorumludur.</w:t>
      </w:r>
    </w:p>
    <w:p>
      <w:pPr>
        <w:pStyle w:val="ListParagraph"/>
        <w:numPr>
          <w:ilvl w:val="0"/>
          <w:numId w:val="3"/>
        </w:numPr>
      </w:pPr>
      <w:r>
        <w:t xml:space="preserve">Yazar, sözleşme süresince Eser'i başka bir yayınevine veya platforma yayımlanmak üzere veremez.</w:t>
      </w:r>
    </w:p>
    <w:p>
      <w:pPr>
        <w:pStyle w:val="ListParagraph"/>
        <w:numPr>
          <w:ilvl w:val="0"/>
          <w:numId w:val="3"/>
        </w:numPr>
      </w:pPr>
      <w:r>
        <w:t xml:space="preserve">Yazar, Yayınevi'nin yapacağı editoryal düzeltme önerilerini değerlendirir; Eser'in anlamını değiştiren düzeltmeler Yazar'ın onayıyla yapılır.</w:t>
      </w:r>
    </w:p>
    <w:p>
      <w:pPr>
        <w:pStyle w:val="Heading2"/>
      </w:pPr>
      <w:r>
        <w:t xml:space="preserve">Madde 6 – Yayınevi'nin Yükümlülükleri</w:t>
      </w:r>
    </w:p>
    <w:p>
      <w:pPr>
        <w:pStyle w:val="ListParagraph"/>
        <w:numPr>
          <w:ilvl w:val="0"/>
          <w:numId w:val="4"/>
        </w:numPr>
      </w:pPr>
      <w:r>
        <w:t xml:space="preserve">Yayınevi, Eser'i sözleşmenin yürürlüğe girmesinden itibaren en geç </w:t>
      </w:r>
      <w:r>
        <w:rPr>
          <w:b/>
          <w:bCs/>
        </w:rPr>
        <w:t xml:space="preserve">12 ay</w:t>
      </w:r>
      <w:r>
        <w:t xml:space="preserve"> içinde yayımlar.</w:t>
      </w:r>
    </w:p>
    <w:p>
      <w:pPr>
        <w:pStyle w:val="ListParagraph"/>
        <w:numPr>
          <w:ilvl w:val="0"/>
          <w:numId w:val="4"/>
        </w:numPr>
      </w:pPr>
      <w:r>
        <w:t xml:space="preserve">Yayınevi, Eser'in her baskısında ve dijital yayınında Yazar'ın adını belirtir.</w:t>
      </w:r>
    </w:p>
    <w:p>
      <w:pPr>
        <w:pStyle w:val="ListParagraph"/>
        <w:numPr>
          <w:ilvl w:val="0"/>
          <w:numId w:val="4"/>
        </w:numPr>
      </w:pPr>
      <w:r>
        <w:t xml:space="preserve">Yayınevi, Eser'in basılı hâlinden Yazar'a </w:t>
      </w:r>
      <w:r>
        <w:rPr>
          <w:b/>
          <w:bCs/>
        </w:rPr>
        <w:t xml:space="preserve">5 adet</w:t>
      </w:r>
      <w:r>
        <w:t xml:space="preserve"> ücretsiz nüsha verir.</w:t>
      </w:r>
    </w:p>
    <w:p>
      <w:pPr>
        <w:pStyle w:val="ListParagraph"/>
        <w:numPr>
          <w:ilvl w:val="0"/>
          <w:numId w:val="4"/>
        </w:numPr>
      </w:pPr>
      <w:r>
        <w:t xml:space="preserve">Yayınevi, Madde 4'te belirtilen telif ücretini zamanında öder ve satış raporlarını paylaşır.</w:t>
      </w:r>
    </w:p>
    <w:p>
      <w:pPr>
        <w:pStyle w:val="Heading2"/>
      </w:pPr>
      <w:r>
        <w:t xml:space="preserve">Madde 7 – Süre ve Fesih</w:t>
      </w:r>
    </w:p>
    <w:p>
      <w:pPr/>
      <w:r>
        <w:t xml:space="preserve">Bu sözleşme, yürürlüğe girdiği tarihten itibaren </w:t>
      </w:r>
      <w:r>
        <w:rPr>
          <w:b/>
          <w:bCs/>
        </w:rPr>
        <w:t xml:space="preserve">5 yıl</w:t>
      </w:r>
      <w:r>
        <w:t xml:space="preserve"> süreyle geçerlidir. Taraflardan biri süre bitiminden en az 3 ay önce yazılı olarak bildirimde bulunmazsa, sözleşme aynı koşullarla birer yıl uzar.</w:t>
      </w:r>
    </w:p>
    <w:p>
      <w:pPr/>
      <w:r>
        <w:t xml:space="preserve">Yayınevi, Madde 6'da belirtilen süre içinde Eser'i yayımlamaz veya telif ücretini iki dönem üst üste ödemezse, Yazar sözleşmeyi yazılı bildirimle feshedebilir. Bu durumda devredilen haklar Yazar'a geri döner.</w:t>
      </w:r>
    </w:p>
    <w:p>
      <w:pPr>
        <w:pStyle w:val="Heading2"/>
      </w:pPr>
      <w:r>
        <w:t xml:space="preserve">Madde 8 – 18 Yaşından Küçük Yazarlar</w:t>
      </w:r>
    </w:p>
    <w:p>
      <w:pPr/>
      <w:r>
        <w:t xml:space="preserve">Yazar 18 yaşından küçükse, bu sözleşme veli veya vasisi tarafından Yazar adına imzalanır. Telif ödemeleri velinin bildireceği, Yazar adına açılmış banka hesabına yapılır.</w:t>
      </w:r>
    </w:p>
    <w:p>
      <w:pPr>
        <w:pStyle w:val="Heading2"/>
      </w:pPr>
      <w:r>
        <w:t xml:space="preserve">Madde 9 – Uyuşmazlıkların Çözümü</w:t>
      </w:r>
    </w:p>
    <w:p>
      <w:pPr/>
      <w:r>
        <w:t xml:space="preserve">Bu sözleşmeden doğacak uyuşmazlıklarda </w:t>
      </w:r>
      <w:r>
        <w:rPr>
          <w:b/>
          <w:bCs/>
        </w:rPr>
        <w:t xml:space="preserve">İzmir</w:t>
      </w:r>
      <w:r>
        <w:t xml:space="preserve"> Mahkemeleri ve İcra Daireleri yetkilidir. Sözleşmede hüküm bulunmayan hâllerde 5846 sayılı FSEK ve ilgili mevzuat uygulanır.</w:t>
      </w:r>
    </w:p>
    <w:p>
      <w:pPr/>
      <w:r>
        <w:t xml:space="preserve">Bu sözleşme 9 maddeden ibaret olup iki nüsha olarak düzenlenmiş ve taraflarca okunarak imza altına alınmıştır.</w:t>
      </w:r>
    </w:p>
    <w:p>
      <w:pPr>
        <w:pStyle w:val="Heading2"/>
      </w:pPr>
      <w:r>
        <w:t xml:space="preserve">İmzalar</w:t>
      </w:r>
    </w:p>
    <w:p>
      <w:pPr/>
      <w:r>
        <w:t xml:space="preserve">Bu sözleşme, Madde 2 uyarınca Eser'in ödül kazanması hâlinde 10 Nisan 2027 tarihinde yürürlüğe girer.</w:t>
      </w:r>
    </w:p>
    <w:tbl>
      <w:tblPr>
        <w:tblStyle w:val="TableGrid"/>
        <w:tblW w:w="0" w:type="auto"/>
        <w:tblLayout w:type="fixed"/>
        <w:tblLook w:val="04A0" w:firstRow="1" w:lastRow="0" w:firstColumn="0" w:lastColumn="0" w:noHBand="0" w:noVBand="1"/>
      </w:tblPr>
      <w:tblGrid>
        <w:gridCol w:w="2972"/>
        <w:gridCol w:w="1415"/>
        <w:gridCol w:w="4971"/>
      </w:tblGrid>
      <w:tr>
        <w:trPr>
          <w:tblHeader/>
        </w:trPr>
        <w:tc>
          <w:tcPr>
            <w:tcW w:w="2972" w:type="dxa"/>
            <w:shd w:val="clear" w:color="auto" w:fill="F2F2F2"/>
          </w:tcPr>
          <w:p>
            <w:pPr/>
            <w:r>
              <w:t xml:space="preserve">Yayınevi adına</w:t>
            </w:r>
          </w:p>
        </w:tc>
        <w:tc>
          <w:tcPr>
            <w:tcW w:w="1415" w:type="dxa"/>
            <w:shd w:val="clear" w:color="auto" w:fill="F2F2F2"/>
          </w:tcPr>
          <w:p>
            <w:pPr/>
            <w:r>
              <w:t xml:space="preserve">Yazar</w:t>
            </w:r>
          </w:p>
        </w:tc>
        <w:tc>
          <w:tcPr>
            <w:tcW w:w="4971" w:type="dxa"/>
            <w:shd w:val="clear" w:color="auto" w:fill="F2F2F2"/>
          </w:tcPr>
          <w:p>
            <w:pPr/>
            <w:r>
              <w:t xml:space="preserve">Veli / Vasi (Yazar 18 yaşından küçükse)</w:t>
            </w:r>
          </w:p>
        </w:tc>
      </w:tr>
      <w:tr>
        <w:tc>
          <w:tcPr>
            <w:tcW w:w="2972" w:type="dxa"/>
          </w:tcPr>
          <w:p>
            <w:pPr/>
            <w:r>
              <w:t xml:space="preserve">Mor Klavye Yayıncılık</w:t>
            </w:r>
          </w:p>
        </w:tc>
        <w:tc>
          <w:tcPr>
            <w:tcW w:w="1415" w:type="dxa"/>
          </w:tcPr>
          <w:p>
            <w:pPr/>
            <w:r>
              <w:t xml:space="preserve">Ad Soyad:</w:t>
            </w:r>
          </w:p>
        </w:tc>
        <w:tc>
          <w:tcPr>
            <w:tcW w:w="4971" w:type="dxa"/>
          </w:tcPr>
          <w:p>
            <w:pPr/>
            <w:r>
              <w:t xml:space="preserve">Ad Soyad:</w:t>
            </w:r>
          </w:p>
        </w:tc>
      </w:tr>
      <w:tr>
        <w:tc>
          <w:tcPr>
            <w:tcW w:w="2972" w:type="dxa"/>
          </w:tcPr>
          <w:p>
            <w:pPr/>
            <w:r>
              <w:t xml:space="preserve">Kaşe / Yetkili İmza</w:t>
            </w:r>
          </w:p>
        </w:tc>
        <w:tc>
          <w:tcPr>
            <w:tcW w:w="1415" w:type="dxa"/>
          </w:tcPr>
          <w:p>
            <w:pPr/>
            <w:r>
              <w:t xml:space="preserve">İmza:</w:t>
            </w:r>
          </w:p>
        </w:tc>
        <w:tc>
          <w:tcPr>
            <w:tcW w:w="4971" w:type="dxa"/>
          </w:tcPr>
          <w:p>
            <w:pPr/>
            <w:r>
              <w:t xml:space="preserve">İmza:</w:t>
            </w:r>
          </w:p>
        </w:tc>
      </w:tr>
    </w:tbl>
    <w:p/>
    <w:sectPr>
      <w:pgSz w:w="12240" w:h="15840"/>
      <w:pgMar w:top="1440" w:right="1440" w:bottom="1440" w:left="1440" w:header="720" w:footer="720" w:gutter="0"/>
    </w:sectPr>
  </w:body>
</w:document>
</file>

<file path=word/numbering.xml><?xml version="1.0" encoding="utf-8"?>
<w:numbering xmlns:w="http://schemas.openxmlformats.org/wordprocessingml/2006/main">
  <w:abstractNum w:abstractNumId="0">
    <w:multiLevelType w:val="hybridMultilevel"/>
    <w:lvl w:ilvl="0">
      <w:start w:val="1"/>
      <w:numFmt w:val="bullet"/>
      <w:lvlText w:val="•"/>
      <w:lvlJc w:val="left"/>
      <w:pPr>
        <w:ind w:left="720" w:hanging="360"/>
      </w:pPr>
    </w:lvl>
    <w:lvl w:ilvl="1">
      <w:start w:val="1"/>
      <w:numFmt w:val="bullet"/>
      <w:lvlText w:val="o"/>
      <w:lvlJc w:val="left"/>
      <w:pPr>
        <w:ind w:left="1440" w:hanging="360"/>
      </w:pPr>
    </w:lvl>
    <w:lvl w:ilvl="2">
      <w:start w:val="1"/>
      <w:numFmt w:val="bullet"/>
      <w:lvlText w:val="▪"/>
      <w:lvlJc w:val="left"/>
      <w:pPr>
        <w:ind w:left="2160" w:hanging="360"/>
      </w:pPr>
    </w:lvl>
    <w:lvl w:ilvl="3">
      <w:start w:val="1"/>
      <w:numFmt w:val="bullet"/>
      <w:lvlText w:val="•"/>
      <w:lvlJc w:val="left"/>
      <w:pPr>
        <w:ind w:left="2880" w:hanging="360"/>
      </w:pPr>
    </w:lvl>
    <w:lvl w:ilvl="4">
      <w:start w:val="1"/>
      <w:numFmt w:val="bullet"/>
      <w:lvlText w:val="o"/>
      <w:lvlJc w:val="left"/>
      <w:pPr>
        <w:ind w:left="3600" w:hanging="360"/>
      </w:pPr>
    </w:lvl>
    <w:lvl w:ilvl="5">
      <w:start w:val="1"/>
      <w:numFmt w:val="bullet"/>
      <w:lvlText w:val="▪"/>
      <w:lvlJc w:val="left"/>
      <w:pPr>
        <w:ind w:left="4320" w:hanging="360"/>
      </w:pPr>
    </w:lvl>
    <w:lvl w:ilvl="6">
      <w:start w:val="1"/>
      <w:numFmt w:val="bullet"/>
      <w:lvlText w:val="•"/>
      <w:lvlJc w:val="left"/>
      <w:pPr>
        <w:ind w:left="5040" w:hanging="360"/>
      </w:pPr>
    </w:lvl>
    <w:lvl w:ilvl="7">
      <w:start w:val="1"/>
      <w:numFmt w:val="bullet"/>
      <w:lvlText w:val="o"/>
      <w:lvlJc w:val="left"/>
      <w:pPr>
        <w:ind w:left="5760" w:hanging="360"/>
      </w:pPr>
    </w:lvl>
    <w:lvl w:ilvl="8">
      <w:start w:val="1"/>
      <w:numFmt w:val="bullet"/>
      <w:lvlText w:val="▪"/>
      <w:lvlJc w:val="left"/>
      <w:pPr>
        <w:ind w:left="6480" w:hanging="360"/>
      </w:pPr>
    </w:lvl>
  </w:abstractNum>
  <w:abstractNum w:abstractNumId="1">
    <w:multiLevelType w:val="hybridMultilevel"/>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left"/>
      <w:pPr>
        <w:ind w:left="2160" w:hanging="36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left"/>
      <w:pPr>
        <w:ind w:left="4320" w:hanging="36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left"/>
      <w:pPr>
        <w:ind w:left="6480" w:hanging="360"/>
      </w:pPr>
    </w:lvl>
  </w:abstractNum>
  <w:num w:numId="1">
    <w:abstractNumId w:val="0"/>
  </w:num>
  <w:num w:numId="2">
    <w:abstractNumId w:val="1"/>
    <w:lvlOverride w:ilvl="0">
      <w:startOverride w:val="1"/>
    </w:lvlOverride>
  </w:num>
  <w:num w:numId="3">
    <w:abstractNumId w:val="0"/>
  </w:num>
  <w:num w:numId="4">
    <w:abstractNumId w:val="0"/>
  </w:num>
</w:numbering>
</file>

<file path=word/styles.xml><?xml version="1.0" encoding="utf-8"?>
<w:styles xmlns:w="http://schemas.openxmlformats.org/wordprocessingml/2006/main">
  <w:docDefaults>
    <w:rPrDefault>
      <w:rPr>
        <w:rFonts w:ascii="Calibri" w:hAnsi="Calibri" w:eastAsia="Calibri" w:cs="Calibri"/>
        <w:sz w:val="22"/>
        <w:szCs w:val="22"/>
        <w:lang w:val="en-US"/>
      </w:rPr>
    </w:rPrDefault>
    <w:pPrDefault>
      <w:pPr>
        <w:spacing w:after="160" w:line="259" w:lineRule="auto"/>
      </w:pPr>
    </w:pPrDefault>
  </w:docDefaults>
  <w:style w:type="paragraph" w:default="1" w:styleId="Normal">
    <w:name w:val="Normal"/>
    <w:qFormat/>
  </w:style>
  <w:style w:type="paragraph" w:styleId="Heading1">
    <w:name w:val="heading 1"/>
    <w:basedOn w:val="Normal"/>
    <w:next w:val="Normal"/>
    <w:qFormat/>
    <w:pPr>
      <w:keepNext/>
      <w:spacing w:before="360" w:after="120"/>
      <w:outlineLvl w:val="0"/>
    </w:pPr>
    <w:rPr>
      <w:b/>
      <w:bCs/>
      <w:sz w:val="32"/>
      <w:szCs w:val="32"/>
    </w:rPr>
  </w:style>
  <w:style w:type="paragraph" w:styleId="Heading2">
    <w:name w:val="heading 2"/>
    <w:basedOn w:val="Normal"/>
    <w:next w:val="Normal"/>
    <w:qFormat/>
    <w:pPr>
      <w:keepNext/>
      <w:spacing w:before="280" w:after="100"/>
      <w:outlineLvl w:val="1"/>
    </w:pPr>
    <w:rPr>
      <w:b/>
      <w:bCs/>
      <w:sz w:val="26"/>
      <w:szCs w:val="26"/>
    </w:rPr>
  </w:style>
  <w:style w:type="paragraph" w:styleId="Heading3">
    <w:name w:val="heading 3"/>
    <w:basedOn w:val="Normal"/>
    <w:next w:val="Normal"/>
    <w:qFormat/>
    <w:pPr>
      <w:keepNext/>
      <w:spacing w:before="240" w:after="80"/>
      <w:outlineLvl w:val="2"/>
    </w:pPr>
    <w:rPr>
      <w:b/>
      <w:bCs/>
      <w:sz w:val="24"/>
      <w:szCs w:val="24"/>
    </w:rPr>
  </w:style>
  <w:style w:type="paragraph" w:styleId="Heading4">
    <w:name w:val="heading 4"/>
    <w:basedOn w:val="Normal"/>
    <w:next w:val="Normal"/>
    <w:qFormat/>
    <w:pPr>
      <w:keepNext/>
      <w:outlineLvl w:val="3"/>
    </w:pPr>
    <w:rPr>
      <w:b/>
      <w:bCs/>
      <w:sz w:val="22"/>
      <w:szCs w:val="22"/>
    </w:rPr>
  </w:style>
  <w:style w:type="paragraph" w:styleId="Heading5">
    <w:name w:val="heading 5"/>
    <w:basedOn w:val="Normal"/>
    <w:next w:val="Normal"/>
    <w:qFormat/>
    <w:pPr>
      <w:keepNext/>
      <w:outlineLvl w:val="4"/>
    </w:pPr>
    <w:rPr>
      <w:b/>
      <w:bCs/>
      <w:sz w:val="22"/>
      <w:szCs w:val="22"/>
    </w:rPr>
  </w:style>
  <w:style w:type="paragraph" w:styleId="Heading6">
    <w:name w:val="heading 6"/>
    <w:basedOn w:val="Normal"/>
    <w:next w:val="Normal"/>
    <w:qFormat/>
    <w:pPr>
      <w:keepNext/>
      <w:outlineLvl w:val="5"/>
    </w:pPr>
    <w:rPr>
      <w:i/>
      <w:iCs/>
      <w:sz w:val="22"/>
      <w:szCs w:val="22"/>
    </w:rPr>
  </w:style>
  <w:style w:type="paragraph" w:styleId="Title">
    <w:name w:val="Title"/>
    <w:basedOn w:val="Normal"/>
    <w:next w:val="Normal"/>
    <w:qFormat/>
    <w:pPr>
      <w:spacing w:after="80"/>
      <w:contextualSpacing/>
    </w:pPr>
    <w:rPr>
      <w:sz w:val="56"/>
      <w:szCs w:val="56"/>
    </w:rPr>
  </w:style>
  <w:style w:type="paragraph" w:styleId="Quote">
    <w:name w:val="Quote"/>
    <w:basedOn w:val="Normal"/>
    <w:qFormat/>
    <w:pPr>
      <w:ind w:left="720" w:right="720"/>
      <w:pBdr>
        <w:left w:val="single" w:sz="12" w:space="8" w:color="A0A0A0"/>
      </w:pBdr>
    </w:pPr>
    <w:rPr>
      <w:i/>
      <w:iCs/>
      <w:color w:val="404040"/>
    </w:rPr>
  </w:style>
  <w:style w:type="paragraph" w:styleId="Code">
    <w:name w:val="Code"/>
    <w:basedOn w:val="Normal"/>
    <w:link w:val="CodeChar"/>
    <w:pPr>
      <w:spacing w:after="0" w:line="240" w:lineRule="auto"/>
      <w:contextualSpacing/>
      <w:shd w:val="clear" w:color="auto" w:fill="F5F5F5"/>
    </w:pPr>
    <w:rPr>
      <w:rFonts w:ascii="Consolas" w:hAnsi="Consolas" w:eastAsia="Consolas" w:cs="Consolas"/>
      <w:sz w:val="20"/>
      <w:szCs w:val="20"/>
    </w:rPr>
  </w:style>
  <w:style w:type="character" w:styleId="CodeChar">
    <w:name w:val="Code Char"/>
    <w:link w:val="Code"/>
    <w:rPr>
      <w:rFonts w:ascii="Consolas" w:hAnsi="Consolas" w:eastAsia="Consolas" w:cs="Consolas"/>
      <w:sz w:val="20"/>
      <w:szCs w:val="20"/>
      <w:shd w:val="clear" w:color="auto" w:fill="F5F5F5"/>
    </w:rPr>
  </w:style>
  <w:style w:type="paragraph" w:styleId="ListParagraph">
    <w:name w:val="List Paragraph"/>
    <w:basedOn w:val="Normal"/>
    <w:qFormat/>
    <w:pPr>
      <w:ind w:left="720"/>
      <w:contextualSpacing/>
    </w:pPr>
  </w:style>
  <w:style w:type="character" w:styleId="Hyperlink">
    <w:name w:val="Hyperlink"/>
    <w:rPr>
      <w:color w:val="0563C1"/>
      <w:u w:val="single"/>
    </w:rPr>
  </w:style>
  <w:style w:type="paragraph" w:styleId="CommentText">
    <w:name w:val="annotation text"/>
    <w:basedOn w:val="Normal"/>
    <w:link w:val="CommentTextChar"/>
    <w:pPr>
      <w:spacing w:line="240" w:lineRule="auto"/>
    </w:pPr>
    <w:rPr>
      <w:sz w:val="20"/>
      <w:szCs w:val="20"/>
    </w:rPr>
  </w:style>
  <w:style w:type="character" w:styleId="CommentReference">
    <w:name w:val="annotation reference"/>
    <w:rPr>
      <w:sz w:val="16"/>
      <w:szCs w:val="16"/>
    </w:rPr>
  </w:style>
  <w:style w:type="table" w:default="1" w:styleId="TableNormal">
    <w:name w:val="Normal Table"/>
    <w:tblPr>
      <w:tblInd w:w="0" w:type="dxa"/>
      <w:tblCellMar>
        <w:top w:w="0" w:type="dxa"/>
        <w:left w:w="108" w:type="dxa"/>
        <w:bottom w:w="0" w:type="dxa"/>
        <w:right w:w="108" w:type="dxa"/>
      </w:tblCellMar>
    </w:tblPr>
  </w:style>
  <w:style w:type="table" w:styleId="TableGrid">
    <w:name w:val="Table Grid"/>
    <w:basedOn w:val="TableNormal"/>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s>
</file>

<file path=docProps/app.xml><?xml version="1.0" encoding="utf-8"?>
<Properties xmlns="http://schemas.openxmlformats.org/officeDocument/2006/extended-properties">
  <Application>Claude Docs</Application>
  <AppVersion>2.0000</AppVersion>
</Properties>
</file>

<file path=docProps/core.xml><?xml version="1.0" encoding="utf-8"?>
<cp:coreProperties xmlns:cp="http://schemas.openxmlformats.org/package/2006/metadata/core-properties" xmlns:dc="http://purl.org/dc/elements/1.1/" xmlns:dcterms="http://purl.org/dc/terms/" xmlns:xsi="http://www.w3.org/2001/XMLSchema-instance">
  <dc:title>Uzun Hikâye Yarışması – Yayın Hakları Sözleşmesi</dc:title>
  <dc:description>Claude Docs node/72304360-db43@8 docx-w8</dc:description>
  <cp:revision>8</cp:revision>
</cp:coreProperties>
</file>